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6FB7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C8691D4" w14:textId="5D895FCC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  <w:t xml:space="preserve">    </w:t>
      </w:r>
      <w:r w:rsidR="00901947"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 </w:t>
      </w:r>
      <w:r w:rsidR="00DD03B6">
        <w:rPr>
          <w:rFonts w:ascii="Rockwell" w:eastAsia="Rockwell" w:hAnsi="Rockwell" w:cs="Rockwell"/>
          <w:b/>
          <w:color w:val="E36C0A"/>
          <w:sz w:val="28"/>
        </w:rPr>
        <w:t>Double Tree Hotel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 xml:space="preserve"> </w:t>
      </w: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West </w:t>
      </w:r>
      <w:r w:rsidR="00944B4D" w:rsidRPr="003919C8">
        <w:rPr>
          <w:rFonts w:ascii="Rockwell" w:eastAsia="Rockwell" w:hAnsi="Rockwell" w:cs="Rockwell"/>
          <w:b/>
          <w:color w:val="E36C0A"/>
          <w:sz w:val="28"/>
        </w:rPr>
        <w:t>Fargo, ND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DD03B6">
        <w:rPr>
          <w:rFonts w:ascii="Rockwell" w:eastAsia="Rockwell" w:hAnsi="Rockwell" w:cs="Rockwell"/>
          <w:b/>
          <w:color w:val="E36C0A"/>
          <w:sz w:val="28"/>
        </w:rPr>
        <w:t>November 2, 2017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71953D64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DDBE8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05611B32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795CF5FF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7E56379C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A0652A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4055E216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39CF3A10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5DF34A0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c/o Amber Olek, Secretary/Treasurer</w:t>
      </w:r>
    </w:p>
    <w:p w14:paraId="596B1288" w14:textId="77777777" w:rsidR="00901947" w:rsidRPr="009173C2" w:rsidRDefault="00B8533C" w:rsidP="00901947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202 Lorrain Dr #211, Bismarck, ND 58503</w:t>
      </w:r>
    </w:p>
    <w:p w14:paraId="7BB2C325" w14:textId="77777777" w:rsidR="00F0795A" w:rsidRPr="009173C2" w:rsidRDefault="00F0795A" w:rsidP="00901947">
      <w:pPr>
        <w:spacing w:after="52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3F5572F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461E59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155E47E6" w14:textId="77777777" w:rsidR="009D17DB" w:rsidRPr="00C65757" w:rsidRDefault="00F0795A" w:rsidP="009D17DB">
      <w:pPr>
        <w:spacing w:after="158"/>
        <w:ind w:left="72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5CF8F594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55F2235A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454325D0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3C0E688A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FCD5705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39008F9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57B50E19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57EAC686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CEDCAB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6EF46BBA" w14:textId="047C0DCD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2017</w:t>
      </w:r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31D5B615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6EB712AD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005468E5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8B7F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1DC7317E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DC262B2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25514226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39636C78" w14:textId="77777777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36450811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1153512A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445D7BB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515F216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49920A32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029DF177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04518C8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75D46D1F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716B4580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3B562A46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73A0931F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7239085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1101EA05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117B7166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47BA16A5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9038172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2689D386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10847EBE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45FF084E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63EE6489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4B93D18E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0DB231C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</w:t>
      </w:r>
      <w:bookmarkStart w:id="0" w:name="_GoBack"/>
      <w:bookmarkEnd w:id="0"/>
      <w:r w:rsidRPr="004E71AD">
        <w:rPr>
          <w:rFonts w:ascii="Times New Roman" w:eastAsia="Tahoma" w:hAnsi="Times New Roman" w:cs="Times New Roman"/>
          <w:b/>
          <w:sz w:val="25"/>
        </w:rPr>
        <w:t>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0"/>
    <w:rsid w:val="00050F9D"/>
    <w:rsid w:val="000C27CC"/>
    <w:rsid w:val="001217E4"/>
    <w:rsid w:val="001A1444"/>
    <w:rsid w:val="00221755"/>
    <w:rsid w:val="00227079"/>
    <w:rsid w:val="002D7B7E"/>
    <w:rsid w:val="003919C8"/>
    <w:rsid w:val="003C15FC"/>
    <w:rsid w:val="003C7A80"/>
    <w:rsid w:val="0042118E"/>
    <w:rsid w:val="004E71AD"/>
    <w:rsid w:val="00614873"/>
    <w:rsid w:val="006F1A43"/>
    <w:rsid w:val="006F792D"/>
    <w:rsid w:val="007F04CC"/>
    <w:rsid w:val="00816C5C"/>
    <w:rsid w:val="00895680"/>
    <w:rsid w:val="00901947"/>
    <w:rsid w:val="009173C2"/>
    <w:rsid w:val="00944B4D"/>
    <w:rsid w:val="009769DD"/>
    <w:rsid w:val="009D17DB"/>
    <w:rsid w:val="00A4406E"/>
    <w:rsid w:val="00AA3E29"/>
    <w:rsid w:val="00AE62D7"/>
    <w:rsid w:val="00AF33AF"/>
    <w:rsid w:val="00AF7CC0"/>
    <w:rsid w:val="00B2109E"/>
    <w:rsid w:val="00B8533C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1DFB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hp.org/Summit-and-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3A20-FA8D-4F77-B121-7620A0D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Maari Loy</cp:lastModifiedBy>
  <cp:revision>2</cp:revision>
  <cp:lastPrinted>2015-11-24T06:46:00Z</cp:lastPrinted>
  <dcterms:created xsi:type="dcterms:W3CDTF">2017-04-21T14:40:00Z</dcterms:created>
  <dcterms:modified xsi:type="dcterms:W3CDTF">2017-04-21T14:40:00Z</dcterms:modified>
</cp:coreProperties>
</file>